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7D97B" w14:textId="117AFED3" w:rsidR="003750BB" w:rsidRPr="00ED64FC" w:rsidRDefault="004F5674" w:rsidP="003750BB">
      <w:pPr>
        <w:pStyle w:val="Date"/>
        <w:spacing w:line="22" w:lineRule="atLeast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 wp14:anchorId="42EF402A" wp14:editId="6F7D5A61">
            <wp:extent cx="567690" cy="644525"/>
            <wp:effectExtent l="0" t="0" r="381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F2ADD" w14:textId="77777777" w:rsidR="003750BB" w:rsidRPr="00ED64FC" w:rsidRDefault="003750BB" w:rsidP="003750BB">
      <w:pPr>
        <w:pStyle w:val="Date"/>
        <w:spacing w:line="22" w:lineRule="atLeast"/>
        <w:rPr>
          <w:rFonts w:ascii="Arial" w:hAnsi="Arial" w:cs="Arial"/>
          <w:b/>
          <w:bCs/>
          <w:szCs w:val="24"/>
        </w:rPr>
      </w:pPr>
    </w:p>
    <w:p w14:paraId="4F3C1855" w14:textId="77777777" w:rsidR="003750BB" w:rsidRPr="00ED64FC" w:rsidRDefault="003750BB" w:rsidP="003750BB">
      <w:pPr>
        <w:pStyle w:val="Title"/>
        <w:spacing w:line="22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ED64FC">
        <w:rPr>
          <w:rFonts w:ascii="Arial" w:hAnsi="Arial" w:cs="Arial"/>
          <w:b/>
          <w:bCs/>
          <w:sz w:val="24"/>
          <w:szCs w:val="24"/>
        </w:rPr>
        <w:t>VISUOTINIS TEISĖJŲ SUSIRINKIMAS</w:t>
      </w:r>
    </w:p>
    <w:p w14:paraId="4F7E499F" w14:textId="77777777" w:rsidR="003750BB" w:rsidRPr="00ED64FC" w:rsidRDefault="003750BB" w:rsidP="003750BB">
      <w:pPr>
        <w:pStyle w:val="Title"/>
        <w:spacing w:line="22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14:paraId="3ADB434F" w14:textId="77777777" w:rsidR="003750BB" w:rsidRPr="00ED64FC" w:rsidRDefault="003750BB" w:rsidP="003750BB">
      <w:pPr>
        <w:pStyle w:val="Title"/>
        <w:spacing w:line="22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ED64FC">
        <w:rPr>
          <w:rFonts w:ascii="Arial" w:hAnsi="Arial" w:cs="Arial"/>
          <w:b/>
          <w:bCs/>
          <w:sz w:val="24"/>
          <w:szCs w:val="24"/>
        </w:rPr>
        <w:t>REZOLIUCIJA</w:t>
      </w:r>
    </w:p>
    <w:p w14:paraId="5C6E3C2C" w14:textId="77777777" w:rsidR="00FB5D3A" w:rsidRPr="00ED64FC" w:rsidRDefault="00FB5D3A" w:rsidP="00FB5D3A"/>
    <w:p w14:paraId="1B7FEADC" w14:textId="77777777" w:rsidR="004F5674" w:rsidRDefault="003750BB" w:rsidP="009B60C6">
      <w:pPr>
        <w:pStyle w:val="Title"/>
        <w:spacing w:line="22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ED64FC">
        <w:rPr>
          <w:rFonts w:ascii="Arial" w:hAnsi="Arial" w:cs="Arial"/>
          <w:b/>
          <w:bCs/>
          <w:sz w:val="24"/>
          <w:szCs w:val="24"/>
        </w:rPr>
        <w:t xml:space="preserve">DĖL BŪTINYBĖS </w:t>
      </w:r>
      <w:r w:rsidR="00FB5D3A" w:rsidRPr="00ED64FC">
        <w:rPr>
          <w:rFonts w:ascii="Arial" w:hAnsi="Arial" w:cs="Arial"/>
          <w:b/>
          <w:bCs/>
          <w:sz w:val="24"/>
          <w:szCs w:val="24"/>
        </w:rPr>
        <w:t xml:space="preserve">NEATIDĖLIOTINAI </w:t>
      </w:r>
      <w:r w:rsidR="0033060B">
        <w:rPr>
          <w:rFonts w:ascii="Arial" w:hAnsi="Arial" w:cs="Arial"/>
          <w:b/>
          <w:bCs/>
          <w:sz w:val="24"/>
          <w:szCs w:val="24"/>
        </w:rPr>
        <w:t xml:space="preserve">SPRĘSTI </w:t>
      </w:r>
      <w:r w:rsidR="004F5674">
        <w:rPr>
          <w:rFonts w:ascii="Arial" w:hAnsi="Arial" w:cs="Arial"/>
          <w:b/>
          <w:bCs/>
          <w:sz w:val="24"/>
          <w:szCs w:val="24"/>
        </w:rPr>
        <w:t xml:space="preserve">ADEKVATAUS </w:t>
      </w:r>
    </w:p>
    <w:p w14:paraId="49E90109" w14:textId="62BAE7BF" w:rsidR="00FB5D3A" w:rsidRPr="00ED64FC" w:rsidRDefault="00441D83" w:rsidP="009B60C6">
      <w:pPr>
        <w:pStyle w:val="Title"/>
        <w:spacing w:line="22" w:lineRule="atLeast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DARBO UŽMOKESČIO</w:t>
      </w:r>
      <w:r w:rsidR="0033060B">
        <w:rPr>
          <w:rFonts w:ascii="Arial" w:hAnsi="Arial" w:cs="Arial"/>
          <w:b/>
          <w:bCs/>
          <w:sz w:val="24"/>
          <w:szCs w:val="24"/>
        </w:rPr>
        <w:t xml:space="preserve"> </w:t>
      </w:r>
      <w:r w:rsidR="004F5674" w:rsidRPr="00ED64FC">
        <w:rPr>
          <w:rFonts w:ascii="Arial" w:hAnsi="Arial" w:cs="Arial"/>
          <w:b/>
          <w:bCs/>
          <w:sz w:val="24"/>
          <w:szCs w:val="24"/>
        </w:rPr>
        <w:t xml:space="preserve">TEISMŲ DARBUOTOJAMS </w:t>
      </w:r>
      <w:r w:rsidR="0033060B">
        <w:rPr>
          <w:rFonts w:ascii="Arial" w:hAnsi="Arial" w:cs="Arial"/>
          <w:b/>
          <w:bCs/>
          <w:sz w:val="24"/>
          <w:szCs w:val="24"/>
        </w:rPr>
        <w:t>KLAUSIMĄ</w:t>
      </w:r>
      <w:r w:rsidR="004F567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8B212C8" w14:textId="0C0748C4" w:rsidR="003750BB" w:rsidRPr="00ED64FC" w:rsidRDefault="003750BB" w:rsidP="003750BB">
      <w:pPr>
        <w:pStyle w:val="Title"/>
        <w:spacing w:line="22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14:paraId="32873768" w14:textId="77777777" w:rsidR="003750BB" w:rsidRPr="00ED64FC" w:rsidRDefault="003750BB" w:rsidP="003750BB">
      <w:pPr>
        <w:pStyle w:val="Date"/>
        <w:spacing w:line="22" w:lineRule="atLeast"/>
        <w:rPr>
          <w:rFonts w:ascii="Arial" w:hAnsi="Arial" w:cs="Arial"/>
          <w:szCs w:val="24"/>
        </w:rPr>
      </w:pPr>
    </w:p>
    <w:p w14:paraId="086565D4" w14:textId="77777777" w:rsidR="003750BB" w:rsidRPr="00ED64FC" w:rsidRDefault="003750BB" w:rsidP="003750BB">
      <w:pPr>
        <w:pStyle w:val="Date"/>
        <w:spacing w:line="22" w:lineRule="atLeast"/>
        <w:rPr>
          <w:rFonts w:ascii="Arial" w:hAnsi="Arial" w:cs="Arial"/>
          <w:szCs w:val="24"/>
        </w:rPr>
      </w:pPr>
      <w:r w:rsidRPr="00ED64FC">
        <w:rPr>
          <w:rFonts w:ascii="Arial" w:hAnsi="Arial" w:cs="Arial"/>
          <w:szCs w:val="24"/>
        </w:rPr>
        <w:t>2026 m. birželio 19 d. Nr. 12P-      -(7.2.2.)</w:t>
      </w:r>
    </w:p>
    <w:p w14:paraId="35002FB6" w14:textId="77777777" w:rsidR="003750BB" w:rsidRPr="00ED64FC" w:rsidRDefault="003750BB" w:rsidP="003750BB">
      <w:pPr>
        <w:pStyle w:val="Date"/>
        <w:spacing w:line="22" w:lineRule="atLeast"/>
        <w:rPr>
          <w:rFonts w:ascii="Arial" w:hAnsi="Arial" w:cs="Arial"/>
          <w:szCs w:val="24"/>
        </w:rPr>
      </w:pPr>
      <w:r w:rsidRPr="00ED64FC">
        <w:rPr>
          <w:rFonts w:ascii="Arial" w:hAnsi="Arial" w:cs="Arial"/>
          <w:szCs w:val="24"/>
        </w:rPr>
        <w:t>Vilnius</w:t>
      </w:r>
    </w:p>
    <w:p w14:paraId="63332DB6" w14:textId="77777777" w:rsidR="003750BB" w:rsidRPr="00ED64FC" w:rsidRDefault="003750BB" w:rsidP="003750BB">
      <w:pPr>
        <w:pStyle w:val="Date"/>
        <w:spacing w:line="22" w:lineRule="atLeast"/>
        <w:jc w:val="both"/>
        <w:rPr>
          <w:rFonts w:ascii="Arial" w:hAnsi="Arial" w:cs="Arial"/>
          <w:szCs w:val="24"/>
        </w:rPr>
      </w:pPr>
    </w:p>
    <w:p w14:paraId="3D6D7BBB" w14:textId="77777777" w:rsidR="003750BB" w:rsidRPr="00ED64FC" w:rsidRDefault="003750BB" w:rsidP="003750BB">
      <w:pPr>
        <w:pStyle w:val="Date"/>
        <w:spacing w:line="22" w:lineRule="atLeast"/>
        <w:jc w:val="both"/>
        <w:rPr>
          <w:rFonts w:ascii="Arial" w:hAnsi="Arial" w:cs="Arial"/>
          <w:szCs w:val="24"/>
        </w:rPr>
      </w:pPr>
    </w:p>
    <w:p w14:paraId="2C307BE4" w14:textId="77777777" w:rsidR="003750BB" w:rsidRPr="00ED64FC" w:rsidRDefault="003750BB" w:rsidP="003750BB">
      <w:pPr>
        <w:pStyle w:val="Date"/>
        <w:tabs>
          <w:tab w:val="left" w:pos="851"/>
        </w:tabs>
        <w:spacing w:after="240" w:line="276" w:lineRule="auto"/>
        <w:ind w:firstLine="851"/>
        <w:jc w:val="both"/>
        <w:rPr>
          <w:rFonts w:ascii="Arial" w:hAnsi="Arial" w:cs="Arial"/>
          <w:szCs w:val="24"/>
        </w:rPr>
      </w:pPr>
      <w:r w:rsidRPr="00ED64FC">
        <w:rPr>
          <w:rFonts w:ascii="Arial" w:hAnsi="Arial" w:cs="Arial"/>
          <w:szCs w:val="24"/>
        </w:rPr>
        <w:t>Visuotinis teisėjų susirinkimas,</w:t>
      </w:r>
    </w:p>
    <w:p w14:paraId="042FF9D9" w14:textId="1DCAD117" w:rsidR="003750BB" w:rsidRPr="00ED64FC" w:rsidRDefault="003750BB" w:rsidP="003750BB">
      <w:pPr>
        <w:pStyle w:val="Date"/>
        <w:tabs>
          <w:tab w:val="left" w:pos="851"/>
        </w:tabs>
        <w:spacing w:after="240" w:line="276" w:lineRule="auto"/>
        <w:ind w:firstLine="851"/>
        <w:jc w:val="both"/>
        <w:rPr>
          <w:rFonts w:ascii="Arial" w:hAnsi="Arial" w:cs="Arial"/>
          <w:szCs w:val="24"/>
        </w:rPr>
      </w:pPr>
      <w:r w:rsidRPr="00ED64FC">
        <w:rPr>
          <w:rFonts w:ascii="Arial" w:hAnsi="Arial" w:cs="Arial"/>
          <w:i/>
          <w:iCs/>
          <w:szCs w:val="24"/>
        </w:rPr>
        <w:t>primindamas</w:t>
      </w:r>
      <w:r w:rsidRPr="00ED64FC">
        <w:rPr>
          <w:rFonts w:ascii="Arial" w:hAnsi="Arial" w:cs="Arial"/>
          <w:szCs w:val="24"/>
        </w:rPr>
        <w:t>, kad nepriklausoma ir stipri teisminė valdžia yra viena iš pamatinių demokratinės ir teisinės valstybės, grindžiamos teisės viršenybės principu, funkcionavimo prielaidų;</w:t>
      </w:r>
    </w:p>
    <w:p w14:paraId="3F90B5C6" w14:textId="77777777" w:rsidR="003750BB" w:rsidRPr="00ED64FC" w:rsidRDefault="003750BB" w:rsidP="003750BB">
      <w:pPr>
        <w:pStyle w:val="Date"/>
        <w:tabs>
          <w:tab w:val="left" w:pos="851"/>
        </w:tabs>
        <w:spacing w:after="240" w:line="276" w:lineRule="auto"/>
        <w:ind w:firstLine="851"/>
        <w:jc w:val="both"/>
        <w:rPr>
          <w:rFonts w:ascii="Arial" w:hAnsi="Arial" w:cs="Arial"/>
          <w:szCs w:val="24"/>
        </w:rPr>
      </w:pPr>
      <w:r w:rsidRPr="00ED64FC">
        <w:rPr>
          <w:rFonts w:ascii="Arial" w:hAnsi="Arial" w:cs="Arial"/>
          <w:i/>
          <w:iCs/>
          <w:szCs w:val="24"/>
        </w:rPr>
        <w:t>pabrėždamas</w:t>
      </w:r>
      <w:r w:rsidRPr="00ED64FC">
        <w:rPr>
          <w:rFonts w:ascii="Arial" w:hAnsi="Arial" w:cs="Arial"/>
          <w:szCs w:val="24"/>
        </w:rPr>
        <w:t>, kad realus teisminės valdžios nepriklausomumas neatsiejamas nuo pakankamo ir stabilaus finansavimo, apimančio ne tik teisėjų, bet ir visų tiesiogiai teisingumo vykdymui padedančių darbuotojų tinkamą darbo užmokestį;</w:t>
      </w:r>
    </w:p>
    <w:p w14:paraId="1465B08D" w14:textId="3CC13A28" w:rsidR="003750BB" w:rsidRPr="00ED64FC" w:rsidRDefault="003750BB" w:rsidP="003750BB">
      <w:pPr>
        <w:pStyle w:val="Date"/>
        <w:tabs>
          <w:tab w:val="left" w:pos="851"/>
        </w:tabs>
        <w:spacing w:after="240" w:line="276" w:lineRule="auto"/>
        <w:ind w:firstLine="851"/>
        <w:jc w:val="both"/>
        <w:rPr>
          <w:rFonts w:ascii="Arial" w:hAnsi="Arial" w:cs="Arial"/>
          <w:szCs w:val="24"/>
        </w:rPr>
      </w:pPr>
      <w:r w:rsidRPr="00ED64FC">
        <w:rPr>
          <w:rFonts w:ascii="Arial" w:hAnsi="Arial" w:cs="Arial"/>
          <w:i/>
          <w:iCs/>
          <w:szCs w:val="24"/>
        </w:rPr>
        <w:t>pažymėdamas</w:t>
      </w:r>
      <w:r w:rsidRPr="00ED64FC">
        <w:rPr>
          <w:rFonts w:ascii="Arial" w:hAnsi="Arial" w:cs="Arial"/>
          <w:szCs w:val="24"/>
        </w:rPr>
        <w:t>, kad Lietuvos Respublikos Konstitucinio Teismo jurisprudencijoje ne kartą akcentuota, jog teismų nepriklausomumas apima ir jų finansinį nepriklausomumą, o valstybė privalo užtikrinti adekvatų finansavimą teismų funkcijoms vykdyti;</w:t>
      </w:r>
    </w:p>
    <w:p w14:paraId="618BA5E4" w14:textId="175CE2C5" w:rsidR="003750BB" w:rsidRPr="00ED64FC" w:rsidRDefault="003750BB" w:rsidP="003750BB">
      <w:pPr>
        <w:pStyle w:val="Date"/>
        <w:tabs>
          <w:tab w:val="left" w:pos="851"/>
        </w:tabs>
        <w:spacing w:after="240" w:line="276" w:lineRule="auto"/>
        <w:ind w:firstLine="851"/>
        <w:jc w:val="both"/>
        <w:rPr>
          <w:rFonts w:ascii="Arial" w:hAnsi="Arial" w:cs="Arial"/>
          <w:szCs w:val="24"/>
        </w:rPr>
      </w:pPr>
      <w:r w:rsidRPr="00ED64FC">
        <w:rPr>
          <w:rFonts w:ascii="Arial" w:hAnsi="Arial" w:cs="Arial"/>
          <w:i/>
          <w:iCs/>
          <w:szCs w:val="24"/>
        </w:rPr>
        <w:t>atsižvelgdamas</w:t>
      </w:r>
      <w:r w:rsidRPr="00ED64FC">
        <w:rPr>
          <w:rFonts w:ascii="Arial" w:hAnsi="Arial" w:cs="Arial"/>
          <w:szCs w:val="24"/>
        </w:rPr>
        <w:t xml:space="preserve"> į tarptautinių organizacijų (Europos Tarybos, Europos Komisijos,</w:t>
      </w:r>
      <w:r w:rsidR="00FC6285">
        <w:rPr>
          <w:rFonts w:ascii="Arial" w:hAnsi="Arial" w:cs="Arial"/>
          <w:szCs w:val="24"/>
        </w:rPr>
        <w:t xml:space="preserve"> Europos teismų tarybų tinklo</w:t>
      </w:r>
      <w:r w:rsidRPr="00ED64FC">
        <w:rPr>
          <w:rFonts w:ascii="Arial" w:hAnsi="Arial" w:cs="Arial"/>
          <w:szCs w:val="24"/>
        </w:rPr>
        <w:t xml:space="preserve"> </w:t>
      </w:r>
      <w:r w:rsidR="00FC6285">
        <w:rPr>
          <w:rFonts w:ascii="Arial" w:hAnsi="Arial" w:cs="Arial"/>
          <w:szCs w:val="24"/>
        </w:rPr>
        <w:t>(</w:t>
      </w:r>
      <w:r w:rsidR="00FC6285" w:rsidRPr="00FC6285">
        <w:rPr>
          <w:rFonts w:ascii="Arial" w:hAnsi="Arial" w:cs="Arial"/>
          <w:szCs w:val="24"/>
        </w:rPr>
        <w:t>European Network of Councils for the Judiciar</w:t>
      </w:r>
      <w:r w:rsidR="00FC6285">
        <w:rPr>
          <w:rFonts w:ascii="Arial" w:hAnsi="Arial" w:cs="Arial"/>
          <w:szCs w:val="24"/>
        </w:rPr>
        <w:t>y (</w:t>
      </w:r>
      <w:r w:rsidRPr="00ED64FC">
        <w:rPr>
          <w:rFonts w:ascii="Arial" w:hAnsi="Arial" w:cs="Arial"/>
          <w:szCs w:val="24"/>
        </w:rPr>
        <w:t>ENCJ</w:t>
      </w:r>
      <w:r w:rsidR="00FC6285">
        <w:rPr>
          <w:rFonts w:ascii="Arial" w:hAnsi="Arial" w:cs="Arial"/>
          <w:szCs w:val="24"/>
        </w:rPr>
        <w:t>))</w:t>
      </w:r>
      <w:r w:rsidR="0033699F">
        <w:rPr>
          <w:rFonts w:ascii="Arial" w:hAnsi="Arial" w:cs="Arial"/>
          <w:szCs w:val="24"/>
        </w:rPr>
        <w:t>, Europos teisėjų asociacijos</w:t>
      </w:r>
      <w:r w:rsidR="00B10AE2" w:rsidRPr="00C3748A">
        <w:rPr>
          <w:rFonts w:ascii="Arial" w:hAnsi="Arial" w:cs="Arial"/>
          <w:color w:val="0070C0"/>
          <w:szCs w:val="24"/>
        </w:rPr>
        <w:t xml:space="preserve"> </w:t>
      </w:r>
      <w:r w:rsidR="00EB2E57" w:rsidRPr="00C3748A">
        <w:rPr>
          <w:rFonts w:ascii="Arial" w:hAnsi="Arial" w:cs="Arial"/>
          <w:szCs w:val="24"/>
        </w:rPr>
        <w:t>(</w:t>
      </w:r>
      <w:r w:rsidR="00B10AE2" w:rsidRPr="00C3748A">
        <w:rPr>
          <w:rFonts w:ascii="Arial" w:hAnsi="Arial" w:cs="Arial"/>
          <w:szCs w:val="24"/>
        </w:rPr>
        <w:t>European Association of Judges (EAJ</w:t>
      </w:r>
      <w:r w:rsidR="00EB2E57" w:rsidRPr="00C3748A">
        <w:rPr>
          <w:rFonts w:ascii="Arial" w:hAnsi="Arial" w:cs="Arial"/>
          <w:szCs w:val="24"/>
        </w:rPr>
        <w:t>)</w:t>
      </w:r>
      <w:r w:rsidR="00B10AE2" w:rsidRPr="00C3748A">
        <w:rPr>
          <w:rFonts w:ascii="Arial" w:hAnsi="Arial" w:cs="Arial"/>
          <w:szCs w:val="24"/>
        </w:rPr>
        <w:t>)</w:t>
      </w:r>
      <w:r w:rsidRPr="00C3748A">
        <w:rPr>
          <w:rFonts w:ascii="Arial" w:hAnsi="Arial" w:cs="Arial"/>
          <w:color w:val="0070C0"/>
          <w:szCs w:val="24"/>
        </w:rPr>
        <w:t xml:space="preserve"> </w:t>
      </w:r>
      <w:r w:rsidRPr="00ED64FC">
        <w:rPr>
          <w:rFonts w:ascii="Arial" w:hAnsi="Arial" w:cs="Arial"/>
          <w:szCs w:val="24"/>
        </w:rPr>
        <w:t>ir kt.) rekomendacijas, kuriose pabrėžiama, kad teismų sistemoms turi būti užtikrinti pakankami žmogiškieji ir finansiniai ištekliai;</w:t>
      </w:r>
    </w:p>
    <w:p w14:paraId="3FF7F66A" w14:textId="1F7669E7" w:rsidR="003750BB" w:rsidRPr="00ED64FC" w:rsidRDefault="00320F66" w:rsidP="003750BB">
      <w:pPr>
        <w:pStyle w:val="Date"/>
        <w:tabs>
          <w:tab w:val="left" w:pos="851"/>
        </w:tabs>
        <w:spacing w:after="240" w:line="276" w:lineRule="auto"/>
        <w:ind w:firstLine="851"/>
        <w:jc w:val="both"/>
        <w:rPr>
          <w:rFonts w:ascii="Arial" w:hAnsi="Arial" w:cs="Arial"/>
          <w:szCs w:val="24"/>
        </w:rPr>
      </w:pPr>
      <w:r w:rsidRPr="00ED64FC">
        <w:rPr>
          <w:rFonts w:ascii="Arial" w:hAnsi="Arial" w:cs="Arial"/>
          <w:i/>
          <w:iCs/>
          <w:szCs w:val="24"/>
        </w:rPr>
        <w:t>pabrėž</w:t>
      </w:r>
      <w:r w:rsidR="003750BB" w:rsidRPr="00ED64FC">
        <w:rPr>
          <w:rFonts w:ascii="Arial" w:hAnsi="Arial" w:cs="Arial"/>
          <w:i/>
          <w:iCs/>
          <w:szCs w:val="24"/>
        </w:rPr>
        <w:t>damas</w:t>
      </w:r>
      <w:r w:rsidR="003750BB" w:rsidRPr="00ED64FC">
        <w:rPr>
          <w:rFonts w:ascii="Arial" w:hAnsi="Arial" w:cs="Arial"/>
          <w:szCs w:val="24"/>
        </w:rPr>
        <w:t xml:space="preserve">, kad Lietuva pagal </w:t>
      </w:r>
      <w:r w:rsidR="008E6B04">
        <w:rPr>
          <w:rFonts w:ascii="Arial" w:hAnsi="Arial" w:cs="Arial"/>
          <w:szCs w:val="24"/>
        </w:rPr>
        <w:t>teismams skiriamą</w:t>
      </w:r>
      <w:r w:rsidR="008E6B04" w:rsidRPr="00ED64FC">
        <w:rPr>
          <w:rFonts w:ascii="Arial" w:hAnsi="Arial" w:cs="Arial"/>
          <w:szCs w:val="24"/>
        </w:rPr>
        <w:t xml:space="preserve"> </w:t>
      </w:r>
      <w:r w:rsidR="003750BB" w:rsidRPr="00ED64FC">
        <w:rPr>
          <w:rFonts w:ascii="Arial" w:hAnsi="Arial" w:cs="Arial"/>
          <w:szCs w:val="24"/>
        </w:rPr>
        <w:t xml:space="preserve">finansavimą išlieka tarp mažiausiai </w:t>
      </w:r>
      <w:r w:rsidR="008E6B04">
        <w:rPr>
          <w:rFonts w:ascii="Arial" w:hAnsi="Arial" w:cs="Arial"/>
          <w:szCs w:val="24"/>
        </w:rPr>
        <w:t>lėšų teismų sistemai skiriančių</w:t>
      </w:r>
      <w:r w:rsidR="008E6B04" w:rsidRPr="00ED64FC">
        <w:rPr>
          <w:rFonts w:ascii="Arial" w:hAnsi="Arial" w:cs="Arial"/>
          <w:szCs w:val="24"/>
        </w:rPr>
        <w:t xml:space="preserve"> </w:t>
      </w:r>
      <w:r w:rsidR="003750BB" w:rsidRPr="00ED64FC">
        <w:rPr>
          <w:rFonts w:ascii="Arial" w:hAnsi="Arial" w:cs="Arial"/>
          <w:szCs w:val="24"/>
        </w:rPr>
        <w:t>Europos Sąjungos valstybių</w:t>
      </w:r>
      <w:r w:rsidR="009A3080">
        <w:rPr>
          <w:rFonts w:ascii="Arial" w:hAnsi="Arial" w:cs="Arial"/>
          <w:szCs w:val="24"/>
        </w:rPr>
        <w:t xml:space="preserve"> ir šis finansavimas nuosekliai mažėja</w:t>
      </w:r>
      <w:r w:rsidR="000667B2">
        <w:rPr>
          <w:rFonts w:ascii="Arial" w:hAnsi="Arial" w:cs="Arial"/>
          <w:szCs w:val="24"/>
        </w:rPr>
        <w:t>, palyginus su</w:t>
      </w:r>
      <w:r w:rsidR="009A3080">
        <w:rPr>
          <w:rFonts w:ascii="Arial" w:hAnsi="Arial" w:cs="Arial"/>
          <w:szCs w:val="24"/>
        </w:rPr>
        <w:t xml:space="preserve"> Lietuvos bendruoju vidaus produktu</w:t>
      </w:r>
      <w:r w:rsidR="003750BB" w:rsidRPr="00ED64FC">
        <w:rPr>
          <w:rFonts w:ascii="Arial" w:hAnsi="Arial" w:cs="Arial"/>
          <w:szCs w:val="24"/>
        </w:rPr>
        <w:t>, o tai kelia sisteminę grėsmę efektyviam teisingumo vykdymui;</w:t>
      </w:r>
    </w:p>
    <w:p w14:paraId="0CBADA44" w14:textId="7D278986" w:rsidR="003750BB" w:rsidRPr="00ED64FC" w:rsidRDefault="003750BB" w:rsidP="003750BB">
      <w:pPr>
        <w:pStyle w:val="Date"/>
        <w:tabs>
          <w:tab w:val="left" w:pos="851"/>
        </w:tabs>
        <w:spacing w:after="240" w:line="276" w:lineRule="auto"/>
        <w:ind w:firstLine="851"/>
        <w:jc w:val="both"/>
        <w:rPr>
          <w:rFonts w:ascii="Arial" w:hAnsi="Arial" w:cs="Arial"/>
          <w:szCs w:val="24"/>
        </w:rPr>
      </w:pPr>
      <w:r w:rsidRPr="00ED64FC">
        <w:rPr>
          <w:rFonts w:ascii="Arial" w:hAnsi="Arial" w:cs="Arial"/>
          <w:i/>
          <w:iCs/>
          <w:szCs w:val="24"/>
        </w:rPr>
        <w:lastRenderedPageBreak/>
        <w:t>įvertindamas</w:t>
      </w:r>
      <w:r w:rsidRPr="00ED64FC">
        <w:rPr>
          <w:rFonts w:ascii="Arial" w:hAnsi="Arial" w:cs="Arial"/>
          <w:szCs w:val="24"/>
        </w:rPr>
        <w:t>, kad</w:t>
      </w:r>
      <w:r w:rsidR="0084604B">
        <w:rPr>
          <w:rFonts w:ascii="Arial" w:hAnsi="Arial" w:cs="Arial"/>
          <w:szCs w:val="24"/>
        </w:rPr>
        <w:t>,</w:t>
      </w:r>
      <w:r w:rsidRPr="00ED64FC">
        <w:rPr>
          <w:rFonts w:ascii="Arial" w:hAnsi="Arial" w:cs="Arial"/>
          <w:szCs w:val="24"/>
        </w:rPr>
        <w:t xml:space="preserve"> nepaisant pakartotinių teismų bendruomenės kreipimųsi </w:t>
      </w:r>
      <w:r w:rsidR="008E6B04">
        <w:rPr>
          <w:rFonts w:ascii="Arial" w:hAnsi="Arial" w:cs="Arial"/>
          <w:szCs w:val="24"/>
        </w:rPr>
        <w:t xml:space="preserve">į politinės valdžios institucijas </w:t>
      </w:r>
      <w:r w:rsidRPr="00ED64FC">
        <w:rPr>
          <w:rFonts w:ascii="Arial" w:hAnsi="Arial" w:cs="Arial"/>
          <w:szCs w:val="24"/>
        </w:rPr>
        <w:t>(2022 m. Visuotinio teisėjų susirinkimo rezoliucija, 2025 m. Teisėjų tarybos nutarimai ir kreipimaisi dėl biudžeto, 2026 m. Teisėjų tarybos iniciatyvos dėl finansavimo modelio</w:t>
      </w:r>
      <w:r w:rsidR="00D607D2">
        <w:rPr>
          <w:rFonts w:ascii="Arial" w:hAnsi="Arial" w:cs="Arial"/>
          <w:szCs w:val="24"/>
        </w:rPr>
        <w:t xml:space="preserve"> keitimo</w:t>
      </w:r>
      <w:r w:rsidRPr="00ED64FC">
        <w:rPr>
          <w:rFonts w:ascii="Arial" w:hAnsi="Arial" w:cs="Arial"/>
          <w:szCs w:val="24"/>
        </w:rPr>
        <w:t xml:space="preserve">), esminiai teismų finansavimo klausimai lieka neišspręsti, o vienintelis reikšmingesnis pokytis buvo </w:t>
      </w:r>
      <w:r w:rsidR="0084604B">
        <w:rPr>
          <w:rFonts w:ascii="Arial" w:hAnsi="Arial" w:cs="Arial"/>
          <w:szCs w:val="24"/>
        </w:rPr>
        <w:t>nominalus</w:t>
      </w:r>
      <w:r w:rsidR="0084604B" w:rsidRPr="00ED64FC">
        <w:rPr>
          <w:rFonts w:ascii="Arial" w:hAnsi="Arial" w:cs="Arial"/>
          <w:szCs w:val="24"/>
        </w:rPr>
        <w:t xml:space="preserve"> </w:t>
      </w:r>
      <w:r w:rsidRPr="00ED64FC">
        <w:rPr>
          <w:rFonts w:ascii="Arial" w:hAnsi="Arial" w:cs="Arial"/>
          <w:szCs w:val="24"/>
        </w:rPr>
        <w:t>teisėjų atlyginimų padidinimas;</w:t>
      </w:r>
    </w:p>
    <w:p w14:paraId="2315EF68" w14:textId="014597AB" w:rsidR="003750BB" w:rsidRPr="00ED64FC" w:rsidRDefault="003750BB" w:rsidP="003750BB">
      <w:pPr>
        <w:pStyle w:val="Date"/>
        <w:tabs>
          <w:tab w:val="left" w:pos="851"/>
        </w:tabs>
        <w:spacing w:after="240" w:line="276" w:lineRule="auto"/>
        <w:ind w:firstLine="851"/>
        <w:jc w:val="both"/>
        <w:rPr>
          <w:rFonts w:ascii="Arial" w:hAnsi="Arial" w:cs="Arial"/>
          <w:szCs w:val="24"/>
        </w:rPr>
      </w:pPr>
      <w:r w:rsidRPr="00ED64FC">
        <w:rPr>
          <w:rFonts w:ascii="Arial" w:hAnsi="Arial" w:cs="Arial"/>
          <w:i/>
          <w:iCs/>
          <w:szCs w:val="24"/>
        </w:rPr>
        <w:t>atkreipdamas dėmesį</w:t>
      </w:r>
      <w:r w:rsidRPr="00ED64FC">
        <w:rPr>
          <w:rFonts w:ascii="Arial" w:hAnsi="Arial" w:cs="Arial"/>
          <w:szCs w:val="24"/>
        </w:rPr>
        <w:t>, kad nepakankamas teisėjo komandos</w:t>
      </w:r>
      <w:r w:rsidR="00320F66" w:rsidRPr="00ED64FC">
        <w:rPr>
          <w:rFonts w:ascii="Arial" w:hAnsi="Arial" w:cs="Arial"/>
          <w:szCs w:val="24"/>
        </w:rPr>
        <w:t xml:space="preserve"> (teisėjo padėjėjo, teismo posėdžių sekretoriaus ir kitų tiesiogiai teisėjui padedančių darbuotojų)</w:t>
      </w:r>
      <w:r w:rsidRPr="00ED64FC">
        <w:rPr>
          <w:rFonts w:ascii="Arial" w:hAnsi="Arial" w:cs="Arial"/>
          <w:szCs w:val="24"/>
        </w:rPr>
        <w:t xml:space="preserve"> finansavimas lemia kvalifikuotų darbuotojų trūkumą, didelę kaitą ir mažėjantį profesijos patrauklumą, o tai tiesiogiai veikia bylų nagrinėjimo trukmę, teismų darbo kokybę ir visuomenės pasitikėjimą teisingum</w:t>
      </w:r>
      <w:r w:rsidR="00D607D2">
        <w:rPr>
          <w:rFonts w:ascii="Arial" w:hAnsi="Arial" w:cs="Arial"/>
          <w:szCs w:val="24"/>
        </w:rPr>
        <w:t>o vykdymu</w:t>
      </w:r>
      <w:r w:rsidRPr="00ED64FC">
        <w:rPr>
          <w:rFonts w:ascii="Arial" w:hAnsi="Arial" w:cs="Arial"/>
          <w:szCs w:val="24"/>
        </w:rPr>
        <w:t>;</w:t>
      </w:r>
    </w:p>
    <w:p w14:paraId="7B13ADE2" w14:textId="2509983C" w:rsidR="003750BB" w:rsidRPr="00ED64FC" w:rsidRDefault="003750BB" w:rsidP="003750BB">
      <w:pPr>
        <w:pStyle w:val="Date"/>
        <w:tabs>
          <w:tab w:val="left" w:pos="851"/>
        </w:tabs>
        <w:spacing w:after="240" w:line="276" w:lineRule="auto"/>
        <w:ind w:firstLine="851"/>
        <w:jc w:val="both"/>
        <w:rPr>
          <w:rFonts w:ascii="Arial" w:hAnsi="Arial" w:cs="Arial"/>
          <w:szCs w:val="24"/>
        </w:rPr>
      </w:pPr>
      <w:r w:rsidRPr="00ED64FC">
        <w:rPr>
          <w:rFonts w:ascii="Arial" w:hAnsi="Arial" w:cs="Arial"/>
          <w:i/>
          <w:iCs/>
          <w:szCs w:val="24"/>
        </w:rPr>
        <w:t>įspėdamas</w:t>
      </w:r>
      <w:r w:rsidRPr="00ED64FC">
        <w:rPr>
          <w:rFonts w:ascii="Arial" w:hAnsi="Arial" w:cs="Arial"/>
          <w:szCs w:val="24"/>
        </w:rPr>
        <w:t>, kad nesprendžiant šios problemos kyla reali grėsmė, jog visuomenė, nesulaukdama savalaikio ir kokybiško teisingumo</w:t>
      </w:r>
      <w:r w:rsidR="008E6B04">
        <w:rPr>
          <w:rFonts w:ascii="Arial" w:hAnsi="Arial" w:cs="Arial"/>
          <w:szCs w:val="24"/>
        </w:rPr>
        <w:t xml:space="preserve"> vykdymo</w:t>
      </w:r>
      <w:r w:rsidRPr="00ED64FC">
        <w:rPr>
          <w:rFonts w:ascii="Arial" w:hAnsi="Arial" w:cs="Arial"/>
          <w:szCs w:val="24"/>
        </w:rPr>
        <w:t xml:space="preserve">, </w:t>
      </w:r>
      <w:r w:rsidR="008E6B04">
        <w:rPr>
          <w:rFonts w:ascii="Arial" w:hAnsi="Arial" w:cs="Arial"/>
          <w:szCs w:val="24"/>
        </w:rPr>
        <w:t>gali</w:t>
      </w:r>
      <w:r w:rsidR="008E6B04" w:rsidRPr="00ED64FC">
        <w:rPr>
          <w:rFonts w:ascii="Arial" w:hAnsi="Arial" w:cs="Arial"/>
          <w:szCs w:val="24"/>
        </w:rPr>
        <w:t xml:space="preserve"> </w:t>
      </w:r>
      <w:r w:rsidRPr="00ED64FC">
        <w:rPr>
          <w:rFonts w:ascii="Arial" w:hAnsi="Arial" w:cs="Arial"/>
          <w:szCs w:val="24"/>
        </w:rPr>
        <w:t>prarasti pasitikėjimą ne tik teismais, bet ir valstybe kaip visuma</w:t>
      </w:r>
      <w:r w:rsidR="002405A7" w:rsidRPr="00ED64FC">
        <w:rPr>
          <w:rFonts w:ascii="Arial" w:hAnsi="Arial" w:cs="Arial"/>
          <w:szCs w:val="24"/>
        </w:rPr>
        <w:t>,</w:t>
      </w:r>
    </w:p>
    <w:p w14:paraId="6105926C" w14:textId="33CE6FB4" w:rsidR="003750BB" w:rsidRPr="00ED64FC" w:rsidRDefault="003750BB" w:rsidP="003750BB">
      <w:pPr>
        <w:pStyle w:val="Date"/>
        <w:tabs>
          <w:tab w:val="left" w:pos="851"/>
        </w:tabs>
        <w:spacing w:after="240" w:line="276" w:lineRule="auto"/>
        <w:ind w:firstLine="851"/>
        <w:jc w:val="both"/>
        <w:rPr>
          <w:rFonts w:ascii="Arial" w:hAnsi="Arial" w:cs="Arial"/>
          <w:b/>
          <w:bCs/>
          <w:szCs w:val="24"/>
        </w:rPr>
      </w:pPr>
      <w:r w:rsidRPr="00ED64FC">
        <w:rPr>
          <w:rFonts w:ascii="Arial" w:hAnsi="Arial" w:cs="Arial"/>
          <w:b/>
          <w:bCs/>
          <w:szCs w:val="24"/>
        </w:rPr>
        <w:t>priima šią REZOLIUCIJĄ ir ragina Lietuvos Respublikos Prezidentą, Lietuvos Respublikos Seimą ir Lietuvos Respublikos Vyriausybę:</w:t>
      </w:r>
    </w:p>
    <w:p w14:paraId="7F8B29FF" w14:textId="73C35A57" w:rsidR="003750BB" w:rsidRPr="00ED64FC" w:rsidRDefault="003750BB" w:rsidP="003750BB">
      <w:pPr>
        <w:pStyle w:val="Date"/>
        <w:numPr>
          <w:ilvl w:val="0"/>
          <w:numId w:val="1"/>
        </w:numPr>
        <w:tabs>
          <w:tab w:val="left" w:pos="851"/>
        </w:tabs>
        <w:spacing w:line="276" w:lineRule="auto"/>
        <w:ind w:left="0" w:firstLine="851"/>
        <w:jc w:val="both"/>
        <w:rPr>
          <w:rFonts w:ascii="Arial" w:hAnsi="Arial" w:cs="Arial"/>
          <w:szCs w:val="24"/>
        </w:rPr>
      </w:pPr>
      <w:r w:rsidRPr="00ED64FC">
        <w:rPr>
          <w:rFonts w:ascii="Arial" w:hAnsi="Arial" w:cs="Arial"/>
          <w:szCs w:val="24"/>
        </w:rPr>
        <w:t xml:space="preserve">nedelsiant imtis veiksmų, užtikrinant reikšmingą </w:t>
      </w:r>
      <w:r w:rsidR="009A3080">
        <w:rPr>
          <w:rFonts w:ascii="Arial" w:hAnsi="Arial" w:cs="Arial"/>
          <w:szCs w:val="24"/>
        </w:rPr>
        <w:t xml:space="preserve">ir proporcingą dirbamam darbui ir tenkančiai atsakomybei </w:t>
      </w:r>
      <w:r w:rsidRPr="00ED64FC">
        <w:rPr>
          <w:rFonts w:ascii="Arial" w:hAnsi="Arial" w:cs="Arial"/>
          <w:szCs w:val="24"/>
        </w:rPr>
        <w:t>teisėjo komandos – teisėj</w:t>
      </w:r>
      <w:r w:rsidR="00320F66" w:rsidRPr="00ED64FC">
        <w:rPr>
          <w:rFonts w:ascii="Arial" w:hAnsi="Arial" w:cs="Arial"/>
          <w:szCs w:val="24"/>
        </w:rPr>
        <w:t>o</w:t>
      </w:r>
      <w:r w:rsidRPr="00ED64FC">
        <w:rPr>
          <w:rFonts w:ascii="Arial" w:hAnsi="Arial" w:cs="Arial"/>
          <w:szCs w:val="24"/>
        </w:rPr>
        <w:t xml:space="preserve"> padėjėjų, teismo posėdžių sekretorių ir kitų tiesiogiai teisingum</w:t>
      </w:r>
      <w:r w:rsidR="00207AB5">
        <w:rPr>
          <w:rFonts w:ascii="Arial" w:hAnsi="Arial" w:cs="Arial"/>
          <w:szCs w:val="24"/>
        </w:rPr>
        <w:t>ą</w:t>
      </w:r>
      <w:r w:rsidRPr="00ED64FC">
        <w:rPr>
          <w:rFonts w:ascii="Arial" w:hAnsi="Arial" w:cs="Arial"/>
          <w:szCs w:val="24"/>
        </w:rPr>
        <w:t xml:space="preserve"> vykdy</w:t>
      </w:r>
      <w:r w:rsidR="00207AB5">
        <w:rPr>
          <w:rFonts w:ascii="Arial" w:hAnsi="Arial" w:cs="Arial"/>
          <w:szCs w:val="24"/>
        </w:rPr>
        <w:t>ti</w:t>
      </w:r>
      <w:r w:rsidRPr="00ED64FC">
        <w:rPr>
          <w:rFonts w:ascii="Arial" w:hAnsi="Arial" w:cs="Arial"/>
          <w:szCs w:val="24"/>
        </w:rPr>
        <w:t xml:space="preserve"> padedančių darbuotojų – darbo užmokesčio padidinimą;</w:t>
      </w:r>
    </w:p>
    <w:p w14:paraId="18D72056" w14:textId="7E41663A" w:rsidR="003750BB" w:rsidRPr="00ED64FC" w:rsidRDefault="00ED64FC" w:rsidP="003750BB">
      <w:pPr>
        <w:pStyle w:val="Date"/>
        <w:numPr>
          <w:ilvl w:val="0"/>
          <w:numId w:val="1"/>
        </w:numPr>
        <w:tabs>
          <w:tab w:val="left" w:pos="851"/>
        </w:tabs>
        <w:spacing w:line="276" w:lineRule="auto"/>
        <w:ind w:left="0" w:firstLine="851"/>
        <w:jc w:val="both"/>
        <w:rPr>
          <w:rFonts w:ascii="Arial" w:hAnsi="Arial" w:cs="Arial"/>
          <w:szCs w:val="24"/>
        </w:rPr>
      </w:pPr>
      <w:r w:rsidRPr="00ED64FC">
        <w:rPr>
          <w:rFonts w:ascii="Arial" w:hAnsi="Arial" w:cs="Arial"/>
          <w:szCs w:val="24"/>
        </w:rPr>
        <w:t xml:space="preserve">nuo </w:t>
      </w:r>
      <w:r w:rsidR="003750BB" w:rsidRPr="00ED64FC">
        <w:rPr>
          <w:rFonts w:ascii="Arial" w:hAnsi="Arial" w:cs="Arial"/>
          <w:szCs w:val="24"/>
        </w:rPr>
        <w:t>2027 metų valstybės biudžete numatyti pakankamus asignavimus</w:t>
      </w:r>
      <w:r w:rsidR="00320F66" w:rsidRPr="00ED64FC">
        <w:rPr>
          <w:rFonts w:ascii="Arial" w:hAnsi="Arial" w:cs="Arial"/>
          <w:szCs w:val="24"/>
        </w:rPr>
        <w:t xml:space="preserve"> teismams</w:t>
      </w:r>
      <w:r w:rsidR="003750BB" w:rsidRPr="00ED64FC">
        <w:rPr>
          <w:rFonts w:ascii="Arial" w:hAnsi="Arial" w:cs="Arial"/>
          <w:szCs w:val="24"/>
        </w:rPr>
        <w:t xml:space="preserve">, leidžiančius realiai įgyvendinti teisėjo komandos finansavimo modelį, </w:t>
      </w:r>
      <w:r w:rsidR="008E6B04">
        <w:rPr>
          <w:rFonts w:ascii="Arial" w:hAnsi="Arial" w:cs="Arial"/>
          <w:szCs w:val="24"/>
        </w:rPr>
        <w:t xml:space="preserve">procentine išraiška </w:t>
      </w:r>
      <w:r w:rsidR="003750BB" w:rsidRPr="00ED64FC">
        <w:rPr>
          <w:rFonts w:ascii="Arial" w:hAnsi="Arial" w:cs="Arial"/>
          <w:szCs w:val="24"/>
        </w:rPr>
        <w:t xml:space="preserve">susietą su teisėjų darbo užmokesčiu ir </w:t>
      </w:r>
      <w:r w:rsidR="008E6B04">
        <w:rPr>
          <w:rFonts w:ascii="Arial" w:hAnsi="Arial" w:cs="Arial"/>
          <w:szCs w:val="24"/>
        </w:rPr>
        <w:t>atitinkantį šiems darbuotojams tenkančią</w:t>
      </w:r>
      <w:r w:rsidR="003750BB" w:rsidRPr="00ED64FC">
        <w:rPr>
          <w:rFonts w:ascii="Arial" w:hAnsi="Arial" w:cs="Arial"/>
          <w:szCs w:val="24"/>
        </w:rPr>
        <w:t xml:space="preserve"> atsakomybę bei funkcijų svarbą;</w:t>
      </w:r>
    </w:p>
    <w:p w14:paraId="7733D4FD" w14:textId="1565FEF7" w:rsidR="003750BB" w:rsidRPr="00ED64FC" w:rsidRDefault="003750BB" w:rsidP="003750BB">
      <w:pPr>
        <w:pStyle w:val="Date"/>
        <w:numPr>
          <w:ilvl w:val="0"/>
          <w:numId w:val="1"/>
        </w:numPr>
        <w:tabs>
          <w:tab w:val="left" w:pos="851"/>
        </w:tabs>
        <w:spacing w:line="276" w:lineRule="auto"/>
        <w:ind w:left="0" w:firstLine="851"/>
        <w:jc w:val="both"/>
        <w:rPr>
          <w:rFonts w:ascii="Arial" w:hAnsi="Arial" w:cs="Arial"/>
          <w:szCs w:val="24"/>
        </w:rPr>
      </w:pPr>
      <w:r w:rsidRPr="00ED64FC">
        <w:rPr>
          <w:rFonts w:ascii="Arial" w:hAnsi="Arial" w:cs="Arial"/>
          <w:szCs w:val="24"/>
        </w:rPr>
        <w:t>į</w:t>
      </w:r>
      <w:r w:rsidR="0033699F">
        <w:rPr>
          <w:rFonts w:ascii="Arial" w:hAnsi="Arial" w:cs="Arial"/>
          <w:szCs w:val="24"/>
        </w:rPr>
        <w:t>tvirtin</w:t>
      </w:r>
      <w:r w:rsidRPr="00ED64FC">
        <w:rPr>
          <w:rFonts w:ascii="Arial" w:hAnsi="Arial" w:cs="Arial"/>
          <w:szCs w:val="24"/>
        </w:rPr>
        <w:t xml:space="preserve">ti Teisėjų tarybos </w:t>
      </w:r>
      <w:r w:rsidR="00320F66" w:rsidRPr="00ED64FC">
        <w:rPr>
          <w:rFonts w:ascii="Arial" w:hAnsi="Arial" w:cs="Arial"/>
          <w:szCs w:val="24"/>
        </w:rPr>
        <w:t>2026 m. vasario 4 d. nutarimu</w:t>
      </w:r>
      <w:r w:rsidR="00320F66" w:rsidRPr="00ED64FC">
        <w:rPr>
          <w:rFonts w:ascii="Arial" w:hAnsi="Arial" w:cs="Arial"/>
          <w:szCs w:val="24"/>
          <w:lang w:eastAsia="en-US"/>
        </w:rPr>
        <w:t xml:space="preserve"> </w:t>
      </w:r>
      <w:r w:rsidR="00320F66" w:rsidRPr="00ED64FC">
        <w:rPr>
          <w:rFonts w:ascii="Arial" w:hAnsi="Arial" w:cs="Arial"/>
          <w:szCs w:val="24"/>
        </w:rPr>
        <w:t xml:space="preserve">Nr. 13P-17-(7.1.2.E) </w:t>
      </w:r>
      <w:r w:rsidRPr="00ED64FC">
        <w:rPr>
          <w:rFonts w:ascii="Arial" w:hAnsi="Arial" w:cs="Arial"/>
          <w:szCs w:val="24"/>
        </w:rPr>
        <w:t xml:space="preserve">siūlomą </w:t>
      </w:r>
      <w:r w:rsidR="00441D83">
        <w:rPr>
          <w:rFonts w:ascii="Arial" w:hAnsi="Arial" w:cs="Arial"/>
          <w:szCs w:val="24"/>
        </w:rPr>
        <w:t xml:space="preserve">arba kitą, suderintą su Teisėjų </w:t>
      </w:r>
      <w:r w:rsidR="00207AB5">
        <w:rPr>
          <w:rFonts w:ascii="Arial" w:hAnsi="Arial" w:cs="Arial"/>
          <w:szCs w:val="24"/>
        </w:rPr>
        <w:t>t</w:t>
      </w:r>
      <w:r w:rsidR="00441D83">
        <w:rPr>
          <w:rFonts w:ascii="Arial" w:hAnsi="Arial" w:cs="Arial"/>
          <w:szCs w:val="24"/>
        </w:rPr>
        <w:t xml:space="preserve">aryba, </w:t>
      </w:r>
      <w:r w:rsidRPr="00ED64FC">
        <w:rPr>
          <w:rFonts w:ascii="Arial" w:hAnsi="Arial" w:cs="Arial"/>
          <w:szCs w:val="24"/>
        </w:rPr>
        <w:t>sisteminį teismų finansavimo modelį, grindžiamą objektyviais kriterijais, kuris užtikrintų ilgalaikį teismų sistemos stabilumą ir nepriklausomumą</w:t>
      </w:r>
      <w:r w:rsidR="00320F66" w:rsidRPr="00ED64FC">
        <w:rPr>
          <w:rFonts w:ascii="Arial" w:hAnsi="Arial" w:cs="Arial"/>
          <w:szCs w:val="24"/>
        </w:rPr>
        <w:t>.</w:t>
      </w:r>
    </w:p>
    <w:p w14:paraId="5B90051D" w14:textId="718CDE83" w:rsidR="003750BB" w:rsidRPr="00ED64FC" w:rsidRDefault="003750BB" w:rsidP="003750BB">
      <w:pPr>
        <w:pStyle w:val="Date"/>
        <w:tabs>
          <w:tab w:val="left" w:pos="851"/>
        </w:tabs>
        <w:spacing w:line="276" w:lineRule="auto"/>
        <w:ind w:firstLine="851"/>
        <w:jc w:val="both"/>
        <w:rPr>
          <w:rFonts w:ascii="Arial" w:hAnsi="Arial" w:cs="Arial"/>
          <w:b/>
          <w:bCs/>
          <w:szCs w:val="24"/>
        </w:rPr>
      </w:pPr>
    </w:p>
    <w:p w14:paraId="09A9F0CA" w14:textId="77777777" w:rsidR="003750BB" w:rsidRPr="00ED64FC" w:rsidRDefault="003750BB" w:rsidP="003750BB">
      <w:pPr>
        <w:pStyle w:val="Date"/>
        <w:tabs>
          <w:tab w:val="left" w:pos="851"/>
        </w:tabs>
        <w:jc w:val="left"/>
        <w:rPr>
          <w:rFonts w:ascii="Arial" w:hAnsi="Arial" w:cs="Arial"/>
          <w:szCs w:val="24"/>
        </w:rPr>
      </w:pPr>
    </w:p>
    <w:p w14:paraId="57872ACE" w14:textId="77777777" w:rsidR="003750BB" w:rsidRPr="00ED64FC" w:rsidRDefault="003750BB" w:rsidP="003750BB">
      <w:pPr>
        <w:pStyle w:val="Date"/>
        <w:tabs>
          <w:tab w:val="left" w:pos="851"/>
        </w:tabs>
        <w:jc w:val="left"/>
        <w:rPr>
          <w:rFonts w:ascii="Arial" w:hAnsi="Arial" w:cs="Arial"/>
          <w:szCs w:val="24"/>
        </w:rPr>
      </w:pPr>
    </w:p>
    <w:p w14:paraId="77820E3A" w14:textId="06CA7C21" w:rsidR="003750BB" w:rsidRPr="00ED64FC" w:rsidRDefault="003750BB" w:rsidP="003750BB">
      <w:pPr>
        <w:pStyle w:val="Date"/>
        <w:tabs>
          <w:tab w:val="left" w:pos="851"/>
        </w:tabs>
        <w:jc w:val="left"/>
        <w:rPr>
          <w:rFonts w:ascii="Arial" w:hAnsi="Arial" w:cs="Arial"/>
          <w:szCs w:val="24"/>
        </w:rPr>
      </w:pPr>
      <w:r w:rsidRPr="00ED64FC">
        <w:rPr>
          <w:rFonts w:ascii="Arial" w:hAnsi="Arial" w:cs="Arial"/>
          <w:szCs w:val="24"/>
        </w:rPr>
        <w:t>Pirmininkas</w:t>
      </w:r>
    </w:p>
    <w:p w14:paraId="5368CEC4" w14:textId="77777777" w:rsidR="003750BB" w:rsidRPr="00ED64FC" w:rsidRDefault="003750BB" w:rsidP="003750BB">
      <w:pPr>
        <w:pStyle w:val="Date"/>
        <w:tabs>
          <w:tab w:val="left" w:pos="851"/>
        </w:tabs>
        <w:ind w:firstLine="851"/>
        <w:jc w:val="left"/>
        <w:rPr>
          <w:rFonts w:ascii="Arial" w:hAnsi="Arial" w:cs="Arial"/>
          <w:szCs w:val="24"/>
        </w:rPr>
      </w:pPr>
    </w:p>
    <w:p w14:paraId="5C493202" w14:textId="77777777" w:rsidR="003750BB" w:rsidRPr="00ED64FC" w:rsidRDefault="003750BB" w:rsidP="003750BB">
      <w:pPr>
        <w:pStyle w:val="Date"/>
        <w:tabs>
          <w:tab w:val="left" w:pos="851"/>
        </w:tabs>
        <w:ind w:firstLine="851"/>
        <w:jc w:val="left"/>
        <w:rPr>
          <w:rFonts w:ascii="Arial" w:hAnsi="Arial" w:cs="Arial"/>
          <w:szCs w:val="24"/>
        </w:rPr>
      </w:pPr>
    </w:p>
    <w:p w14:paraId="7BA88082" w14:textId="14FAEE0B" w:rsidR="003750BB" w:rsidRPr="00ED64FC" w:rsidRDefault="003750BB" w:rsidP="003750BB">
      <w:pPr>
        <w:pStyle w:val="Date"/>
        <w:tabs>
          <w:tab w:val="left" w:pos="851"/>
        </w:tabs>
        <w:jc w:val="both"/>
        <w:rPr>
          <w:rFonts w:ascii="Arial" w:hAnsi="Arial" w:cs="Arial"/>
          <w:szCs w:val="24"/>
        </w:rPr>
      </w:pPr>
      <w:r w:rsidRPr="00ED64FC">
        <w:rPr>
          <w:rFonts w:ascii="Arial" w:hAnsi="Arial" w:cs="Arial"/>
          <w:szCs w:val="24"/>
        </w:rPr>
        <w:t>Sekretorius</w:t>
      </w:r>
    </w:p>
    <w:sectPr w:rsidR="003750BB" w:rsidRPr="00ED64FC" w:rsidSect="00D1481C">
      <w:headerReference w:type="first" r:id="rId8"/>
      <w:pgSz w:w="12240" w:h="15840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7EBB6" w14:textId="77777777" w:rsidR="00C722E3" w:rsidRDefault="00C722E3" w:rsidP="00207AB5">
      <w:pPr>
        <w:spacing w:after="0" w:line="240" w:lineRule="auto"/>
      </w:pPr>
      <w:r>
        <w:separator/>
      </w:r>
    </w:p>
  </w:endnote>
  <w:endnote w:type="continuationSeparator" w:id="0">
    <w:p w14:paraId="28486476" w14:textId="77777777" w:rsidR="00C722E3" w:rsidRDefault="00C722E3" w:rsidP="00207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DB671" w14:textId="77777777" w:rsidR="00C722E3" w:rsidRDefault="00C722E3" w:rsidP="00207AB5">
      <w:pPr>
        <w:spacing w:after="0" w:line="240" w:lineRule="auto"/>
      </w:pPr>
      <w:r>
        <w:separator/>
      </w:r>
    </w:p>
  </w:footnote>
  <w:footnote w:type="continuationSeparator" w:id="0">
    <w:p w14:paraId="19C0693A" w14:textId="77777777" w:rsidR="00C722E3" w:rsidRDefault="00C722E3" w:rsidP="00207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828A0" w14:textId="64EA13DC" w:rsidR="00D1481C" w:rsidRPr="00D1481C" w:rsidRDefault="00D1481C" w:rsidP="00D1481C">
    <w:pPr>
      <w:pStyle w:val="Header"/>
      <w:jc w:val="right"/>
      <w:rPr>
        <w:b/>
        <w:bCs/>
        <w:lang w:val="en-US"/>
      </w:rPr>
    </w:pPr>
    <w:proofErr w:type="spellStart"/>
    <w:r w:rsidRPr="00D1481C">
      <w:rPr>
        <w:b/>
        <w:bCs/>
        <w:lang w:val="en-US"/>
      </w:rPr>
      <w:t>Projektas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333EF"/>
    <w:multiLevelType w:val="hybridMultilevel"/>
    <w:tmpl w:val="46F81FB6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131702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57D"/>
    <w:rsid w:val="000667B2"/>
    <w:rsid w:val="00187947"/>
    <w:rsid w:val="00207AB5"/>
    <w:rsid w:val="002405A7"/>
    <w:rsid w:val="00320F66"/>
    <w:rsid w:val="0033060B"/>
    <w:rsid w:val="0033699F"/>
    <w:rsid w:val="003750BB"/>
    <w:rsid w:val="003D087F"/>
    <w:rsid w:val="00441D83"/>
    <w:rsid w:val="004647C2"/>
    <w:rsid w:val="004F5674"/>
    <w:rsid w:val="004F57FF"/>
    <w:rsid w:val="00573C4F"/>
    <w:rsid w:val="0059123B"/>
    <w:rsid w:val="005D3550"/>
    <w:rsid w:val="00774AC2"/>
    <w:rsid w:val="007E3C3C"/>
    <w:rsid w:val="0084604B"/>
    <w:rsid w:val="008652AE"/>
    <w:rsid w:val="008E6B04"/>
    <w:rsid w:val="009A3080"/>
    <w:rsid w:val="009B60C6"/>
    <w:rsid w:val="00A85941"/>
    <w:rsid w:val="00AC5FFF"/>
    <w:rsid w:val="00AF009B"/>
    <w:rsid w:val="00AF057D"/>
    <w:rsid w:val="00B10AE2"/>
    <w:rsid w:val="00BA142C"/>
    <w:rsid w:val="00BC0CDA"/>
    <w:rsid w:val="00BD4C55"/>
    <w:rsid w:val="00BF7266"/>
    <w:rsid w:val="00C211F5"/>
    <w:rsid w:val="00C3748A"/>
    <w:rsid w:val="00C54342"/>
    <w:rsid w:val="00C722E3"/>
    <w:rsid w:val="00C869EF"/>
    <w:rsid w:val="00D1481C"/>
    <w:rsid w:val="00D607D2"/>
    <w:rsid w:val="00D64D54"/>
    <w:rsid w:val="00D65E24"/>
    <w:rsid w:val="00DE33D6"/>
    <w:rsid w:val="00E25A63"/>
    <w:rsid w:val="00E77479"/>
    <w:rsid w:val="00EB1927"/>
    <w:rsid w:val="00EB2E57"/>
    <w:rsid w:val="00ED64FC"/>
    <w:rsid w:val="00EE7D8A"/>
    <w:rsid w:val="00F14B34"/>
    <w:rsid w:val="00FB5D3A"/>
    <w:rsid w:val="00FC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DC25E"/>
  <w15:chartTrackingRefBased/>
  <w15:docId w15:val="{18B6071D-4B33-441E-A86F-D825FF7F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0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5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5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5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5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5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5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5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5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5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AF0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0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0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05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5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05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5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57D"/>
    <w:rPr>
      <w:b/>
      <w:bCs/>
      <w:smallCaps/>
      <w:color w:val="0F4761" w:themeColor="accent1" w:themeShade="BF"/>
      <w:spacing w:val="5"/>
    </w:rPr>
  </w:style>
  <w:style w:type="paragraph" w:styleId="Date">
    <w:name w:val="Date"/>
    <w:basedOn w:val="Header"/>
    <w:link w:val="DateChar"/>
    <w:semiHidden/>
    <w:rsid w:val="003750BB"/>
    <w:pPr>
      <w:tabs>
        <w:tab w:val="clear" w:pos="4986"/>
        <w:tab w:val="clear" w:pos="9972"/>
      </w:tabs>
      <w:jc w:val="center"/>
    </w:pPr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character" w:customStyle="1" w:styleId="DateChar">
    <w:name w:val="Date Char"/>
    <w:basedOn w:val="DefaultParagraphFont"/>
    <w:link w:val="Date"/>
    <w:semiHidden/>
    <w:rsid w:val="003750BB"/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750B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0BB"/>
  </w:style>
  <w:style w:type="paragraph" w:styleId="Revision">
    <w:name w:val="Revision"/>
    <w:hidden/>
    <w:uiPriority w:val="99"/>
    <w:semiHidden/>
    <w:rsid w:val="008E6B0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306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06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06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6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60B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07A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2251</Words>
  <Characters>1284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Dirvonienė</dc:creator>
  <cp:keywords/>
  <dc:description/>
  <cp:lastModifiedBy>Vita Dirvonienė</cp:lastModifiedBy>
  <cp:revision>2</cp:revision>
  <dcterms:created xsi:type="dcterms:W3CDTF">2026-05-25T05:23:00Z</dcterms:created>
  <dcterms:modified xsi:type="dcterms:W3CDTF">2026-05-25T05:23:00Z</dcterms:modified>
</cp:coreProperties>
</file>